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5A1443" w:rsidTr="0097309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97309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973092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Қазақ әдебиетін оқытудың инновациялық технологиялары</w:t>
            </w:r>
            <w:r w:rsidR="00EB3EAA"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021B7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AD3276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97309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5A1443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245DFA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Студенттерге</w:t>
            </w:r>
            <w:r w:rsidR="00224DC3" w:rsidRPr="00224DC3">
              <w:rPr>
                <w:sz w:val="20"/>
                <w:szCs w:val="20"/>
                <w:lang w:val="kk-KZ"/>
              </w:rPr>
              <w:t xml:space="preserve">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245DFA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6В</w:t>
            </w:r>
            <w:r w:rsidR="005A144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02305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5A144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фи</w:t>
            </w:r>
            <w:bookmarkStart w:id="0" w:name="_GoBack"/>
            <w:bookmarkEnd w:id="0"/>
            <w:r w:rsidR="005A144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лологиясы</w:t>
            </w:r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5A1443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 xml:space="preserve">Жаңартылған білім бағдарламасын оқыту үрдісінде басшылыққа алып, пайдалануға және </w:t>
            </w:r>
            <w:r w:rsidR="00224DC3"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5A1443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173E34" w:rsidRPr="00173E34" w:rsidRDefault="00173E34" w:rsidP="00173E3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173E34">
              <w:rPr>
                <w:sz w:val="20"/>
                <w:szCs w:val="20"/>
                <w:lang w:val="kk-KZ"/>
              </w:rPr>
              <w:t>Майкл Райан, Джули Ривкин.  Әдебиет теориясы.  Антология  І, ІІ, ІІІ,ІҮ том Астана, 2019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173E34" w:rsidRPr="00173E34" w:rsidRDefault="00173E34" w:rsidP="0017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="00E720A0">
              <w:rPr>
                <w:sz w:val="20"/>
                <w:szCs w:val="20"/>
                <w:lang w:val="kk-KZ"/>
              </w:rPr>
              <w:t xml:space="preserve">Сарбасов Б. </w:t>
            </w:r>
            <w:r w:rsidRPr="00173E34">
              <w:rPr>
                <w:sz w:val="20"/>
                <w:szCs w:val="20"/>
                <w:lang w:val="kk-KZ"/>
              </w:rPr>
              <w:t xml:space="preserve"> Ежелгі дәуір</w:t>
            </w:r>
            <w:r w:rsidR="00E720A0">
              <w:rPr>
                <w:sz w:val="20"/>
                <w:szCs w:val="20"/>
                <w:lang w:val="kk-KZ"/>
              </w:rPr>
              <w:t xml:space="preserve"> және түркі халықтары </w:t>
            </w:r>
            <w:r w:rsidRPr="00173E34">
              <w:rPr>
                <w:sz w:val="20"/>
                <w:szCs w:val="20"/>
                <w:lang w:val="kk-KZ"/>
              </w:rPr>
              <w:t xml:space="preserve">  әдебиеті.</w:t>
            </w:r>
            <w:r w:rsidR="00E720A0">
              <w:rPr>
                <w:sz w:val="20"/>
                <w:szCs w:val="20"/>
                <w:lang w:val="kk-KZ"/>
              </w:rPr>
              <w:t xml:space="preserve"> – Алматы, </w:t>
            </w:r>
            <w:r w:rsidRPr="00173E34">
              <w:rPr>
                <w:sz w:val="20"/>
                <w:szCs w:val="20"/>
                <w:lang w:val="kk-KZ"/>
              </w:rPr>
              <w:t>2019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r w:rsidR="002E6185">
              <w:fldChar w:fldCharType="begin"/>
            </w:r>
            <w:r w:rsidR="002E6185">
              <w:instrText xml:space="preserve"> HYPERLINK "http://www.rubricon.com/" </w:instrText>
            </w:r>
            <w:r w:rsidR="002E6185">
              <w:fldChar w:fldCharType="separate"/>
            </w:r>
            <w:r w:rsidRPr="00316E7A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t>www.rubricon.com</w:t>
            </w:r>
            <w:r w:rsidR="002E6185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fldChar w:fldCharType="end"/>
            </w:r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lastRenderedPageBreak/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5A1443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ӨЖ 1. </w:t>
            </w:r>
            <w:r w:rsidR="00271002"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271002"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- 2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- 3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bCs/>
                <w:sz w:val="20"/>
                <w:szCs w:val="20"/>
                <w:lang w:val="kk-KZ"/>
              </w:rPr>
              <w:t>ӨЖ 2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71002"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4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5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5A1443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6</w:t>
            </w:r>
            <w:r w:rsidR="0027100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5A1443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271002"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71002" w:rsidRPr="00701BEE">
              <w:rPr>
                <w:b/>
                <w:sz w:val="20"/>
                <w:szCs w:val="20"/>
              </w:rPr>
              <w:t>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B5" w:rsidRDefault="000F4FB5" w:rsidP="00854F74">
      <w:r>
        <w:separator/>
      </w:r>
    </w:p>
  </w:endnote>
  <w:endnote w:type="continuationSeparator" w:id="0">
    <w:p w:rsidR="000F4FB5" w:rsidRDefault="000F4FB5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B5" w:rsidRDefault="000F4FB5" w:rsidP="00854F74">
      <w:r>
        <w:separator/>
      </w:r>
    </w:p>
  </w:footnote>
  <w:footnote w:type="continuationSeparator" w:id="0">
    <w:p w:rsidR="000F4FB5" w:rsidRDefault="000F4FB5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39B9"/>
    <w:rsid w:val="00505BB9"/>
    <w:rsid w:val="00523DF8"/>
    <w:rsid w:val="005474B8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5475E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E745-CDA3-41E2-B5CF-BCBF79C8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2021-09-13T17:52:00Z</cp:lastPrinted>
  <dcterms:created xsi:type="dcterms:W3CDTF">2022-12-24T12:19:00Z</dcterms:created>
  <dcterms:modified xsi:type="dcterms:W3CDTF">2023-01-10T04:44:00Z</dcterms:modified>
</cp:coreProperties>
</file>